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Default="00381EED" w:rsidP="000A05EF">
      <w:pPr>
        <w:pStyle w:val="Sinespaciado"/>
      </w:pPr>
      <w:sdt>
        <w:sdtPr>
          <w:rPr>
            <w:rFonts w:eastAsia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5E49AC49" w:rsidR="00B9155A" w:rsidRPr="00A84575" w:rsidRDefault="00381EED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44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44"/>
                                      <w:szCs w:val="144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A05EF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44"/>
                                        <w:szCs w:val="144"/>
                                      </w:rPr>
                                      <w:t>RINOMANUAL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5E49AC49" w:rsidR="00B9155A" w:rsidRPr="00A84575" w:rsidRDefault="006D1A6A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44"/>
                              <w:szCs w:val="28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44"/>
                                <w:szCs w:val="144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A05EF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44"/>
                                  <w:szCs w:val="144"/>
                                </w:rPr>
                                <w:t>RINOMANUAL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5FF76D1E" w:rsidR="00B9155A" w:rsidRPr="007D1BC1" w:rsidRDefault="002F6CD1" w:rsidP="00F82275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2F6CD1">
                                  <w:rPr>
                                    <w:rFonts w:ascii="Point Extra Bold" w:hAnsi="Point Extra Bold"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Arranque Rápido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61B0D09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5FF76D1E" w:rsidR="00B9155A" w:rsidRPr="007D1BC1" w:rsidRDefault="002F6CD1" w:rsidP="00F82275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color w:val="1D2244"/>
                              <w:sz w:val="52"/>
                              <w:szCs w:val="52"/>
                            </w:rPr>
                          </w:pPr>
                          <w:r w:rsidRPr="002F6CD1">
                            <w:rPr>
                              <w:rFonts w:ascii="Point Extra Bold" w:hAnsi="Point Extra Bold"/>
                              <w:caps/>
                              <w:color w:val="1D2244"/>
                              <w:sz w:val="52"/>
                              <w:szCs w:val="52"/>
                            </w:rPr>
                            <w:t>Arranque Rápido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Default="00B97478" w:rsidP="000A05EF">
      <w:pPr>
        <w:pStyle w:val="Sinespaciado"/>
      </w:pPr>
    </w:p>
    <w:p w14:paraId="4F93B680" w14:textId="77777777" w:rsidR="00B97478" w:rsidRDefault="00B97478" w:rsidP="000A05EF">
      <w:pPr>
        <w:pStyle w:val="Sinespaciado"/>
      </w:pPr>
    </w:p>
    <w:p w14:paraId="07677EC0" w14:textId="77777777" w:rsidR="00B97478" w:rsidRDefault="00B97478" w:rsidP="000A05EF">
      <w:pPr>
        <w:pStyle w:val="Sinespaciado"/>
      </w:pPr>
    </w:p>
    <w:p w14:paraId="5A5BF1A4" w14:textId="79DE7430" w:rsidR="00B97478" w:rsidRDefault="00B97478" w:rsidP="000A05EF">
      <w:pPr>
        <w:pStyle w:val="Sinespaciado"/>
      </w:pPr>
    </w:p>
    <w:p w14:paraId="661C5111" w14:textId="2AED0460" w:rsidR="00B97478" w:rsidRDefault="00B97478">
      <w:pPr>
        <w:rPr>
          <w:rFonts w:eastAsiaTheme="minorEastAsia"/>
          <w:lang w:eastAsia="es-ES"/>
        </w:rPr>
      </w:pPr>
      <w:r>
        <w:br w:type="page"/>
      </w:r>
    </w:p>
    <w:p w14:paraId="4CA80D93" w14:textId="16922649" w:rsidR="004E5D97" w:rsidRDefault="004E5D97" w:rsidP="000A05EF">
      <w:pPr>
        <w:pStyle w:val="Sinespaciado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4B477731">
                <wp:simplePos x="0" y="0"/>
                <wp:positionH relativeFrom="margin">
                  <wp:posOffset>5181600</wp:posOffset>
                </wp:positionH>
                <wp:positionV relativeFrom="paragraph">
                  <wp:posOffset>-599440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408pt;margin-top:-47.2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44A1FAE4" w14:textId="5D7B584D" w:rsidR="004E5D97" w:rsidRPr="00AB571B" w:rsidRDefault="004E5D97" w:rsidP="004E5D97">
      <w:pPr>
        <w:spacing w:before="100" w:beforeAutospacing="1" w:after="100" w:afterAutospacing="1" w:line="240" w:lineRule="auto"/>
        <w:rPr>
          <w:rFonts w:ascii="Point Semi Bold Italic" w:eastAsia="Times New Roman" w:hAnsi="Point Semi Bold Italic" w:cs="Times New Roman"/>
          <w:b/>
          <w:bCs/>
          <w:sz w:val="24"/>
          <w:szCs w:val="24"/>
          <w:lang w:eastAsia="es-ES"/>
        </w:rPr>
      </w:pPr>
      <w:r w:rsidRPr="00AB571B">
        <w:rPr>
          <w:rFonts w:ascii="Point Semi Bold Italic" w:eastAsia="Times New Roman" w:hAnsi="Point Semi Bold Italic" w:cs="Times New Roman"/>
          <w:b/>
          <w:bCs/>
          <w:sz w:val="24"/>
          <w:szCs w:val="24"/>
          <w:lang w:eastAsia="es-ES"/>
        </w:rPr>
        <w:t xml:space="preserve">Manual de </w:t>
      </w:r>
      <w:r w:rsidR="00AB571B" w:rsidRPr="00AB571B">
        <w:rPr>
          <w:rFonts w:ascii="Point Semi Bold Italic" w:eastAsia="Times New Roman" w:hAnsi="Point Semi Bold Italic" w:cs="Times New Roman"/>
          <w:b/>
          <w:bCs/>
          <w:sz w:val="24"/>
          <w:szCs w:val="24"/>
          <w:lang w:eastAsia="es-ES"/>
        </w:rPr>
        <w:t>Arranque Rápido</w:t>
      </w:r>
    </w:p>
    <w:p w14:paraId="32022379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1. Índice</w:t>
      </w:r>
    </w:p>
    <w:p w14:paraId="17179B6C" w14:textId="625DD5FA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2. Introducción</w:t>
      </w:r>
    </w:p>
    <w:p w14:paraId="7FB23621" w14:textId="3591F71A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3. Objetivos</w:t>
      </w:r>
    </w:p>
    <w:p w14:paraId="72D37D28" w14:textId="78CE55CB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4. Sesión de Encuadre</w:t>
      </w:r>
    </w:p>
    <w:p w14:paraId="36755A66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 4.1 Acuerdo de colaboración</w:t>
      </w:r>
    </w:p>
    <w:p w14:paraId="4F19C010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 4.2 Misión, visión y valores Rino</w:t>
      </w:r>
    </w:p>
    <w:p w14:paraId="29EA0AD1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 4.3 Documentación necesaria para alta en Rino</w:t>
      </w:r>
    </w:p>
    <w:p w14:paraId="12ADC813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 4.4 Reglas de capacitación</w:t>
      </w:r>
    </w:p>
    <w:p w14:paraId="2FE133B4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 4.5 Carta de asignación de cartera</w:t>
      </w:r>
    </w:p>
    <w:p w14:paraId="6D896012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 4.6 Carta de aceptación de uso de clave puente</w:t>
      </w:r>
    </w:p>
    <w:p w14:paraId="4A379105" w14:textId="7D294C8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5. Día 1: Bienvenida</w:t>
      </w:r>
    </w:p>
    <w:p w14:paraId="50C337AB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 5.1 Bienvenida</w:t>
      </w:r>
    </w:p>
    <w:p w14:paraId="6C3B8691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 5.2 Sobre nosotros (RINO)</w:t>
      </w:r>
    </w:p>
    <w:p w14:paraId="42A654A6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 5.3 Claves para tener éxito</w:t>
      </w:r>
    </w:p>
    <w:p w14:paraId="020A3468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 5.4 Mercado Preferente</w:t>
      </w:r>
    </w:p>
    <w:p w14:paraId="5C8933ED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 5.5 Conceptos Básicos</w:t>
      </w:r>
    </w:p>
    <w:p w14:paraId="1699E325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 5.6 Plan de Carrera</w:t>
      </w:r>
    </w:p>
    <w:p w14:paraId="28ABB6F8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 5.7 Proceso Profesional de Ventas</w:t>
      </w:r>
    </w:p>
    <w:p w14:paraId="5E97083B" w14:textId="67B7E92F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6. Día 2: Prospección</w:t>
      </w:r>
    </w:p>
    <w:p w14:paraId="6323ABDA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 6.1 Prospección</w:t>
      </w:r>
    </w:p>
    <w:p w14:paraId="6A84C407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 6.2 Triángulo de necesidades financieras</w:t>
      </w:r>
    </w:p>
    <w:p w14:paraId="026127B9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 6.3 Fuente de prospección / Centros de influencia</w:t>
      </w:r>
    </w:p>
    <w:p w14:paraId="643D9C40" w14:textId="15799501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 6.4 Activador de prospectos</w:t>
      </w:r>
    </w:p>
    <w:p w14:paraId="2AA03E5C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 6.5 Alianzas comerciales</w:t>
      </w:r>
    </w:p>
    <w:p w14:paraId="60852A9C" w14:textId="464711A5" w:rsidR="002D26AC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 6.6 Guion de presentación de agente</w:t>
      </w:r>
    </w:p>
    <w:p w14:paraId="2F7CB76A" w14:textId="77777777" w:rsidR="00BC1793" w:rsidRPr="00BC1793" w:rsidRDefault="00BC1793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</w:p>
    <w:p w14:paraId="6FC07EAE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 6.7 Llamada telefónica</w:t>
      </w:r>
    </w:p>
    <w:p w14:paraId="46C8DB83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 6.8 Guion de primer contacto y Role Play</w:t>
      </w:r>
    </w:p>
    <w:p w14:paraId="229A05A3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 6.9 Manejo de objeciones y Técnica IPA</w:t>
      </w:r>
    </w:p>
    <w:p w14:paraId="09D6F7EA" w14:textId="064A6F39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7. Día 3: Primera Entrevista</w:t>
      </w:r>
    </w:p>
    <w:p w14:paraId="16F17A3E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 7.1 Objetivo de la primera entrevista</w:t>
      </w:r>
    </w:p>
    <w:p w14:paraId="48EB52C5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 7.2 Paso 1: Romper el hielo</w:t>
      </w:r>
    </w:p>
    <w:p w14:paraId="06D33CE4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 7.3 Paso 2: Conocer las expectativas del cliente</w:t>
      </w:r>
    </w:p>
    <w:p w14:paraId="70D3AAD3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 7.4 Perfil diagnóstico</w:t>
      </w:r>
    </w:p>
    <w:p w14:paraId="034D631B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 7.5 Conceptos y productos</w:t>
      </w:r>
    </w:p>
    <w:p w14:paraId="4ADFBF6D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 7.6 Teoría de la inversión</w:t>
      </w:r>
    </w:p>
    <w:p w14:paraId="04BF906B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 7.7 Estado de salud</w:t>
      </w:r>
    </w:p>
    <w:p w14:paraId="44141EDB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 7.8 Cantidad mensual para la estrategia</w:t>
      </w:r>
    </w:p>
    <w:p w14:paraId="52F0840F" w14:textId="792883BC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8. Día 4: Presentación de la Propuesta y Cierre</w:t>
      </w:r>
    </w:p>
    <w:p w14:paraId="70071EBE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 8.1 Presentación comercial</w:t>
      </w:r>
    </w:p>
    <w:p w14:paraId="5C33636C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 8.2 Estructura de cita de cierre</w:t>
      </w:r>
    </w:p>
    <w:p w14:paraId="3A79FE93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 8.3 Objetivo de la cita y técnicas</w:t>
      </w:r>
    </w:p>
    <w:p w14:paraId="75282D28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 8.4 Técnicas de cierre</w:t>
      </w:r>
    </w:p>
    <w:p w14:paraId="21595CFB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 xml:space="preserve"> 8.5 </w:t>
      </w:r>
      <w:proofErr w:type="spellStart"/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Tips</w:t>
      </w:r>
      <w:proofErr w:type="spellEnd"/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 xml:space="preserve"> de cierre</w:t>
      </w:r>
    </w:p>
    <w:p w14:paraId="7C50CFFD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 8.6 Llenado de solicitud</w:t>
      </w:r>
    </w:p>
    <w:p w14:paraId="43480FB3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 8.7 Solicitud de referidos</w:t>
      </w:r>
    </w:p>
    <w:p w14:paraId="3E8F2A5B" w14:textId="2DB37BCB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9. Día 5: Servicio Postventa</w:t>
      </w:r>
    </w:p>
    <w:p w14:paraId="1558C738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 9.1 Importancia del servicio postventa</w:t>
      </w:r>
    </w:p>
    <w:p w14:paraId="09DF60E0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 9.2 Propósitos de la entrega de la póliza</w:t>
      </w:r>
    </w:p>
    <w:p w14:paraId="59942752" w14:textId="77777777" w:rsidR="002D26AC" w:rsidRPr="00BC1793" w:rsidRDefault="002D26AC" w:rsidP="002D26AC">
      <w:pPr>
        <w:spacing w:before="100" w:beforeAutospacing="1" w:after="100" w:afterAutospacing="1" w:line="240" w:lineRule="auto"/>
        <w:ind w:left="360"/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 9.3 Productos VIDA</w:t>
      </w:r>
    </w:p>
    <w:p w14:paraId="55639FE2" w14:textId="57971837" w:rsidR="000F5502" w:rsidRPr="002F6CD1" w:rsidRDefault="002D26AC" w:rsidP="002D26AC">
      <w:pPr>
        <w:spacing w:before="100" w:beforeAutospacing="1" w:after="100" w:afterAutospacing="1" w:line="240" w:lineRule="auto"/>
        <w:ind w:left="360"/>
        <w:rPr>
          <w:rFonts w:ascii="Point Thin" w:eastAsia="Times New Roman" w:hAnsi="Point Thin" w:cs="Times New Roman"/>
          <w:b/>
          <w:bCs/>
          <w:lang w:eastAsia="es-ES"/>
        </w:rPr>
      </w:pPr>
      <w:r w:rsidRPr="00BC1793">
        <w:rPr>
          <w:rFonts w:ascii="Point Semi Bold Italic" w:eastAsia="Times New Roman" w:hAnsi="Point Semi Bold Italic" w:cs="Times New Roman"/>
          <w:b/>
          <w:bCs/>
          <w:sz w:val="20"/>
          <w:szCs w:val="20"/>
          <w:lang w:eastAsia="es-ES"/>
        </w:rPr>
        <w:t>10. Observaciones Finales</w:t>
      </w:r>
      <w:r w:rsidR="000F5502" w:rsidRPr="002F6CD1">
        <w:rPr>
          <w:rFonts w:ascii="Point Thin" w:eastAsia="Times New Roman" w:hAnsi="Point Thin" w:cs="Times New Roman"/>
          <w:b/>
          <w:bCs/>
          <w:lang w:eastAsia="es-ES"/>
        </w:rPr>
        <w:br w:type="page"/>
      </w:r>
    </w:p>
    <w:p w14:paraId="3566F138" w14:textId="77777777" w:rsidR="004E5D97" w:rsidRDefault="004E5D97" w:rsidP="00416FCB">
      <w:pPr>
        <w:pStyle w:val="Prrafodelista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</w:p>
    <w:p w14:paraId="1B7BA4DE" w14:textId="7E11395C" w:rsidR="002B41A3" w:rsidRPr="00A02AF4" w:rsidRDefault="00BE3237" w:rsidP="002B41A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2</w:t>
      </w:r>
      <w:r w:rsidR="002B41A3" w:rsidRPr="00A02AF4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Introducción</w:t>
      </w:r>
    </w:p>
    <w:p w14:paraId="1C292A5B" w14:textId="77777777" w:rsidR="002F6CD1" w:rsidRPr="002F6CD1" w:rsidRDefault="002F6CD1" w:rsidP="002F6CD1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2F6CD1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Este manual está diseñado como una herramienta de apoyo para los capacitadores responsables de formar a los nuevos agentes en desarrollo dentro de la promotoría Rino Risk. Su objetivo es proporcionar una guía estructurada, clara y detallada del proceso de inducción, asegurando una experiencia de aprendizaje efectiva, homogénea y alineada con la filosofía de la organización.</w:t>
      </w:r>
    </w:p>
    <w:p w14:paraId="6731F5C8" w14:textId="294D5AE8" w:rsidR="00DB00DF" w:rsidRPr="00A02AF4" w:rsidRDefault="00BE3237" w:rsidP="00DB00DF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3</w:t>
      </w:r>
      <w:r w:rsidR="00DB00DF" w:rsidRPr="00A02AF4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Objetivos</w:t>
      </w:r>
    </w:p>
    <w:p w14:paraId="44292272" w14:textId="77777777" w:rsidR="002F6CD1" w:rsidRPr="002F6CD1" w:rsidRDefault="002F6CD1" w:rsidP="002F6CD1">
      <w:pPr>
        <w:pStyle w:val="NormalWeb"/>
        <w:rPr>
          <w:rFonts w:ascii="Point Extra Light" w:hAnsi="Point Extra Light"/>
          <w:color w:val="1D2244"/>
        </w:rPr>
      </w:pPr>
      <w:r w:rsidRPr="002F6CD1">
        <w:rPr>
          <w:rFonts w:ascii="Point Extra Light" w:hAnsi="Point Extra Light"/>
          <w:color w:val="1D2244"/>
        </w:rPr>
        <w:t>Este manual tiene como finalidad brindar una guía integral para los capacitadores responsables de implementar el programa de arranque rápido de agentes en desarrollo. Los objetivos específicos son:</w:t>
      </w:r>
    </w:p>
    <w:p w14:paraId="791B577C" w14:textId="77777777" w:rsidR="002F6CD1" w:rsidRPr="002F6CD1" w:rsidRDefault="002F6CD1" w:rsidP="002F6CD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2F6CD1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Establecer una estructura clara y repetible para todas las sesiones de inducción.</w:t>
      </w:r>
    </w:p>
    <w:p w14:paraId="28F83BB7" w14:textId="77777777" w:rsidR="002F6CD1" w:rsidRPr="002F6CD1" w:rsidRDefault="002F6CD1" w:rsidP="002F6CD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2F6CD1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Asegurar la transmisión efectiva de conocimientos fundamentales sobre el sector asegurador y la promotoría Rino Risk.</w:t>
      </w:r>
    </w:p>
    <w:p w14:paraId="5617A522" w14:textId="77777777" w:rsidR="002F6CD1" w:rsidRPr="002F6CD1" w:rsidRDefault="002F6CD1" w:rsidP="002F6CD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2F6CD1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Fomentar el desarrollo de habilidades prácticas de prospección, presentación, manejo de objeciones, cierre y servicio postventa.</w:t>
      </w:r>
    </w:p>
    <w:p w14:paraId="6426F865" w14:textId="77777777" w:rsidR="002F6CD1" w:rsidRPr="002F6CD1" w:rsidRDefault="002F6CD1" w:rsidP="002F6CD1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2F6CD1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Generar una experiencia formativa que motive y encamine a los nuevos agentes hacia la productividad desde sus primeras semanas.</w:t>
      </w:r>
    </w:p>
    <w:p w14:paraId="01DEB7AF" w14:textId="77777777" w:rsidR="0037662C" w:rsidRPr="0037662C" w:rsidRDefault="00F70D99" w:rsidP="0037662C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 w:rsidRPr="008955CF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4. </w:t>
      </w:r>
      <w:r w:rsidR="0037662C" w:rsidRPr="0037662C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Sesión de Encuadre</w:t>
      </w:r>
    </w:p>
    <w:p w14:paraId="583969D9" w14:textId="51E9ECC9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bookmarkStart w:id="0" w:name="_Hlk204244496"/>
      <w:r>
        <w:rPr>
          <w:rFonts w:ascii="Point Extra Light" w:hAnsi="Point Extra Light"/>
          <w:color w:val="1D2244"/>
          <w:sz w:val="24"/>
          <w:szCs w:val="24"/>
        </w:rPr>
        <w:t xml:space="preserve">4.1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Acuerdo de colaboración</w:t>
      </w:r>
    </w:p>
    <w:bookmarkEnd w:id="0"/>
    <w:p w14:paraId="2D9E894B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establece un marco de cooperación entre el agente y la promotoría, dejando claras las condiciones generales de trabajo conjunto.</w:t>
      </w:r>
    </w:p>
    <w:p w14:paraId="3605DC76" w14:textId="46AB25D5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4.2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Misión, visión y valores Rino</w:t>
      </w:r>
    </w:p>
    <w:p w14:paraId="19E76905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presenta la filosofía institucional que sustenta todas las acciones de la promotoría, reforzando el sentido de pertenencia desde el inicio.</w:t>
      </w:r>
    </w:p>
    <w:p w14:paraId="5DB4A999" w14:textId="05D1F440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4.3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Documentación necesaria para alta en Rino</w:t>
      </w:r>
    </w:p>
    <w:p w14:paraId="76DB490A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Listado y revisión de los documentos obligatorios para integrar al agente de forma formal a los registros de la promotoría y aseguradora.</w:t>
      </w:r>
    </w:p>
    <w:p w14:paraId="558E0B81" w14:textId="69B1B561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4.4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Reglas de capacitación</w:t>
      </w:r>
    </w:p>
    <w:p w14:paraId="455C2BE7" w14:textId="163F211E" w:rsid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Normas de convivencia, puntualidad, participación y compromiso requeridas durante las sesiones.</w:t>
      </w:r>
    </w:p>
    <w:p w14:paraId="0EE6440F" w14:textId="77777777" w:rsidR="00C41D65" w:rsidRPr="0037662C" w:rsidRDefault="00C41D65" w:rsidP="0037662C">
      <w:pPr>
        <w:pStyle w:val="NormalWeb"/>
        <w:rPr>
          <w:rFonts w:ascii="Point Extra Light" w:hAnsi="Point Extra Light"/>
          <w:color w:val="1D2244"/>
        </w:rPr>
      </w:pPr>
    </w:p>
    <w:p w14:paraId="7C0D272A" w14:textId="7AF021E8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4.5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Carta de asignación de cartera</w:t>
      </w:r>
    </w:p>
    <w:p w14:paraId="1FA465D4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Documento que especifica la relación entre el agente y la cartera que se le asignará para su gestión.</w:t>
      </w:r>
    </w:p>
    <w:p w14:paraId="00E33B54" w14:textId="7E409E04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4.6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Carta de aceptación de uso de clave puente</w:t>
      </w:r>
    </w:p>
    <w:p w14:paraId="2867B9AB" w14:textId="1B19CE34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Documento de consentimiento en el cual el agente acepta el uso temporal de un clave puente hasta la emisión de su propia clave por parte de la aseguradora.</w:t>
      </w:r>
    </w:p>
    <w:p w14:paraId="7ED416D1" w14:textId="1C9F9E01" w:rsidR="0037662C" w:rsidRPr="0037662C" w:rsidRDefault="00C41D65" w:rsidP="0037662C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5. </w:t>
      </w:r>
      <w:r w:rsidR="0037662C" w:rsidRPr="0037662C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Día 1: Bienvenida</w:t>
      </w:r>
    </w:p>
    <w:p w14:paraId="297C5689" w14:textId="12665D1E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5.1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Bienvenida</w:t>
      </w:r>
    </w:p>
    <w:p w14:paraId="221098B8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brinda la bienvenida al curso, explicando el objetivo general y los objetivos específicos del programa de capacitación. Se refuerzan las reglas de convivencia y se presentan los módulos que se impartirán.</w:t>
      </w:r>
    </w:p>
    <w:p w14:paraId="71BF813D" w14:textId="32C67C8D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5.2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Sobre nosotros (RINO)</w:t>
      </w:r>
    </w:p>
    <w:p w14:paraId="5ACDFC6A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da a conocer la estructura organizacional de Rino Risk, la trayectoria de la promotoría y las razones de su alianza con AXA como socio comercial principal. Se destacan los beneficios a los que los agentes tienen acceso.</w:t>
      </w:r>
    </w:p>
    <w:p w14:paraId="2B596712" w14:textId="7D7BA145" w:rsidR="0037662C" w:rsidRPr="00C41D65" w:rsidRDefault="00C41D65" w:rsidP="00C41D65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5.3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Claves para tener éxito</w:t>
      </w:r>
    </w:p>
    <w:p w14:paraId="1FD3DAFC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presentan las bases de la metodología de ventas:</w:t>
      </w:r>
    </w:p>
    <w:p w14:paraId="1D84A6ED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Disciplina</w:t>
      </w:r>
    </w:p>
    <w:p w14:paraId="0504A07A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Compromiso y motivación</w:t>
      </w:r>
    </w:p>
    <w:p w14:paraId="1D8D1BA6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Fórmula del esfuerzo semanal</w:t>
      </w:r>
    </w:p>
    <w:p w14:paraId="496A730A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Personas Estos elementos definen el perfil ideal de agente dentro de la promotoría.</w:t>
      </w:r>
    </w:p>
    <w:p w14:paraId="13CC2844" w14:textId="31CBF64A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5.4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Mercado Preferente</w:t>
      </w:r>
    </w:p>
    <w:p w14:paraId="1A31862E" w14:textId="327D4798" w:rsid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enseña a identificar prospectos ideales mediante la "Pirámide del Mercado Preferente", con especial énfasis en el ingreso económico como criterio principal.</w:t>
      </w:r>
    </w:p>
    <w:p w14:paraId="78F56581" w14:textId="1B332D53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5.5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Conceptos Básicos</w:t>
      </w:r>
    </w:p>
    <w:p w14:paraId="7943FB0C" w14:textId="5D962D9C" w:rsid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imparten los conceptos esenciales del mundo asegurador, orientados a quienes no tienen experiencia previa en el sector.</w:t>
      </w:r>
    </w:p>
    <w:p w14:paraId="656099BA" w14:textId="77777777" w:rsidR="00C41D65" w:rsidRPr="0037662C" w:rsidRDefault="00C41D65" w:rsidP="0037662C">
      <w:pPr>
        <w:pStyle w:val="NormalWeb"/>
        <w:rPr>
          <w:rFonts w:ascii="Point Extra Light" w:hAnsi="Point Extra Light"/>
          <w:color w:val="1D2244"/>
        </w:rPr>
      </w:pPr>
    </w:p>
    <w:p w14:paraId="4002FEDC" w14:textId="06C85CB2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5.6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Plan de Carrera</w:t>
      </w:r>
    </w:p>
    <w:p w14:paraId="4DF80F5E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explica el sistema de incentivos, bonos de arranque, concursos y beneficios exclusivos para agentes que concluyen satisfactoriamente su etapa inicial en Rino Risk.</w:t>
      </w:r>
    </w:p>
    <w:p w14:paraId="407273FF" w14:textId="5677B2FE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5.7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Proceso Profesional de Ventas</w:t>
      </w:r>
    </w:p>
    <w:p w14:paraId="01D8D83B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 xml:space="preserve">Se introduce la metodología de ventas de Rino, explicando el ciclo de ventas profesional, estructura de comunicación, </w:t>
      </w:r>
      <w:proofErr w:type="spellStart"/>
      <w:r w:rsidRPr="0037662C">
        <w:rPr>
          <w:rFonts w:ascii="Point Extra Light" w:hAnsi="Point Extra Light"/>
          <w:color w:val="1D2244"/>
        </w:rPr>
        <w:t>tips</w:t>
      </w:r>
      <w:proofErr w:type="spellEnd"/>
      <w:r w:rsidRPr="0037662C">
        <w:rPr>
          <w:rFonts w:ascii="Point Extra Light" w:hAnsi="Point Extra Light"/>
          <w:color w:val="1D2244"/>
        </w:rPr>
        <w:t xml:space="preserve"> iniciales y factores que diferencian a un agente de seguros exitoso.</w:t>
      </w:r>
    </w:p>
    <w:p w14:paraId="54F0F092" w14:textId="0F0575FE" w:rsidR="0037662C" w:rsidRPr="0037662C" w:rsidRDefault="00C41D65" w:rsidP="0037662C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6. </w:t>
      </w:r>
      <w:r w:rsidR="0037662C" w:rsidRPr="0037662C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Día 2: Prospección</w:t>
      </w:r>
    </w:p>
    <w:p w14:paraId="3A49FA04" w14:textId="6B33BE81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6.1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Prospección</w:t>
      </w:r>
    </w:p>
    <w:p w14:paraId="43093149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define el concepto de prospección y su importancia crítica en la carrera de ventas. Se destaca que sin prospectos no hay negocio, sin importar la habilidad del agente.</w:t>
      </w:r>
    </w:p>
    <w:p w14:paraId="52B4A272" w14:textId="4302B811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6.2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Triángulo de necesidades financieras</w:t>
      </w:r>
    </w:p>
    <w:p w14:paraId="76C8E2F3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presenta una herramienta basada en la Pirámide de Maslow, adaptada al contexto financiero, que permite identificar en qué nivel se encuentra el prospecto y qué tipo de protección necesita.</w:t>
      </w:r>
    </w:p>
    <w:p w14:paraId="13B787EE" w14:textId="1D4173BA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6.3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Fuente de prospección / Centros de influencia</w:t>
      </w:r>
    </w:p>
    <w:p w14:paraId="02E66E7C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enseña a los agentes a identificar redes de contacto ignoradas que pueden ser útiles para generar prospectos: ex jefes, líderes de opinión, miembros de grupos sociales o profesionales.</w:t>
      </w:r>
    </w:p>
    <w:p w14:paraId="5D29474A" w14:textId="791A7DC2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6.4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Activador de prospectos</w:t>
      </w:r>
    </w:p>
    <w:p w14:paraId="13A0BD3A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Lista estructurada de perfiles para alimentar la base de datos del agente: familiares, amigos, médicos, mecánicos, dentistas, etc. Se fomenta una prospección integral y continua.</w:t>
      </w:r>
    </w:p>
    <w:p w14:paraId="18880E4C" w14:textId="5A0607F6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6.5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Alianzas comerciales</w:t>
      </w:r>
    </w:p>
    <w:p w14:paraId="3699443D" w14:textId="5F8C4546" w:rsid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promueve la creación estratégica de alianzas con perfiles complementarios como contadores, abogados, fiscalistas, etc., y se realizan ejercicios para identificar posibles aliados dentro del círculo del agente.</w:t>
      </w:r>
    </w:p>
    <w:p w14:paraId="234A6A85" w14:textId="78E52CDB" w:rsidR="00C41D65" w:rsidRDefault="00C41D65" w:rsidP="0037662C">
      <w:pPr>
        <w:pStyle w:val="NormalWeb"/>
        <w:rPr>
          <w:rFonts w:ascii="Point Extra Light" w:hAnsi="Point Extra Light"/>
          <w:color w:val="1D2244"/>
        </w:rPr>
      </w:pPr>
    </w:p>
    <w:p w14:paraId="0AF6C4C6" w14:textId="77777777" w:rsidR="00C41D65" w:rsidRPr="0037662C" w:rsidRDefault="00C41D65" w:rsidP="0037662C">
      <w:pPr>
        <w:pStyle w:val="NormalWeb"/>
        <w:rPr>
          <w:rFonts w:ascii="Point Extra Light" w:hAnsi="Point Extra Light"/>
          <w:color w:val="1D2244"/>
        </w:rPr>
      </w:pPr>
    </w:p>
    <w:p w14:paraId="30DBAEB4" w14:textId="1F230FE9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6.6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Guion de presentación de agente</w:t>
      </w:r>
    </w:p>
    <w:p w14:paraId="76CA015C" w14:textId="59D4BE18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trabaja en la redacción del guion que el agente utilizará para presentarse profesionalmente. Se muestran ejemplos de malas prácticas y un modelo estructurado basado en 4 preguntas clave.</w:t>
      </w:r>
    </w:p>
    <w:p w14:paraId="3EA31BAF" w14:textId="66A11B11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6.7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Llamada telefónica</w:t>
      </w:r>
    </w:p>
    <w:p w14:paraId="1269ECC2" w14:textId="3BF7D061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enseña que el único objetivo de la llamada telefónica es conseguir una cita. Se comparte un guion base con adaptaciones posibles y se establecen reglas para su correcta ejecución.</w:t>
      </w:r>
    </w:p>
    <w:p w14:paraId="04AC7C56" w14:textId="2511F41C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6.8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Guion de primer contacto y Role Play</w:t>
      </w:r>
    </w:p>
    <w:p w14:paraId="682AA903" w14:textId="586E382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 xml:space="preserve">Se práctica la ejecución del guion mediante role </w:t>
      </w:r>
      <w:proofErr w:type="spellStart"/>
      <w:r w:rsidRPr="0037662C">
        <w:rPr>
          <w:rFonts w:ascii="Point Extra Light" w:hAnsi="Point Extra Light"/>
          <w:color w:val="1D2244"/>
        </w:rPr>
        <w:t>play</w:t>
      </w:r>
      <w:proofErr w:type="spellEnd"/>
      <w:r w:rsidRPr="0037662C">
        <w:rPr>
          <w:rFonts w:ascii="Point Extra Light" w:hAnsi="Point Extra Light"/>
          <w:color w:val="1D2244"/>
        </w:rPr>
        <w:t xml:space="preserve"> para detectar oportunidades de mejora en la comunicación y presentación.</w:t>
      </w:r>
    </w:p>
    <w:p w14:paraId="47A2B3A7" w14:textId="484675D1" w:rsidR="0037662C" w:rsidRPr="00C41D65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6.9 </w:t>
      </w:r>
      <w:r w:rsidR="0037662C" w:rsidRPr="00C41D65">
        <w:rPr>
          <w:rFonts w:ascii="Point Extra Light" w:hAnsi="Point Extra Light"/>
          <w:color w:val="1D2244"/>
          <w:sz w:val="24"/>
          <w:szCs w:val="24"/>
        </w:rPr>
        <w:t>Manejo de objeciones y Técnica IPA</w:t>
      </w:r>
    </w:p>
    <w:p w14:paraId="47D2E628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introducen las objeciones más comunes, y se enseña la Técnica IPA:</w:t>
      </w:r>
    </w:p>
    <w:p w14:paraId="00D47A3B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Ignora</w:t>
      </w:r>
    </w:p>
    <w:p w14:paraId="7261D9E9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Pregunta</w:t>
      </w:r>
    </w:p>
    <w:p w14:paraId="2EF1AD7E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Amable Se practica su uso con ejemplos aplicables al día a día.</w:t>
      </w:r>
    </w:p>
    <w:p w14:paraId="0485B821" w14:textId="7BF969F7" w:rsidR="0037662C" w:rsidRPr="0037662C" w:rsidRDefault="00C41D65" w:rsidP="0037662C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7. </w:t>
      </w:r>
      <w:r w:rsidR="0037662C" w:rsidRPr="0037662C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Día 3: Primera Entrevista</w:t>
      </w:r>
    </w:p>
    <w:p w14:paraId="18F57453" w14:textId="5EAEAE53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7.1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Objetivo de la primera entrevista</w:t>
      </w:r>
    </w:p>
    <w:p w14:paraId="1B7C5FAF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El objetivo central es conocer las necesidades del cliente para construir una propuesta a su medida.</w:t>
      </w:r>
    </w:p>
    <w:p w14:paraId="0D6F73A6" w14:textId="6E97737C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7.2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Paso 1: Romper el hielo</w:t>
      </w:r>
    </w:p>
    <w:p w14:paraId="07B46E31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brindan consejos para abrir la conversación con empatía y naturalidad, manteniendo siempre el enfoque profesional.</w:t>
      </w:r>
    </w:p>
    <w:p w14:paraId="2FF3FAD6" w14:textId="5B637792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7.3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Paso 2: Conocer las expectativas del cliente</w:t>
      </w:r>
    </w:p>
    <w:p w14:paraId="3DEA9D96" w14:textId="52229E9A" w:rsid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Se utiliza la pregunta clave: “¿Por qué me diste la cita?” como detonante para obtener información valiosa. Se insiste en escuchar activamente.</w:t>
      </w:r>
    </w:p>
    <w:p w14:paraId="152B6552" w14:textId="3CDAB96E" w:rsidR="00F61FC0" w:rsidRDefault="00F61FC0" w:rsidP="0037662C">
      <w:pPr>
        <w:pStyle w:val="NormalWeb"/>
        <w:rPr>
          <w:rFonts w:ascii="Point Extra Light" w:hAnsi="Point Extra Light"/>
          <w:color w:val="1D2244"/>
        </w:rPr>
      </w:pPr>
    </w:p>
    <w:p w14:paraId="2E08851B" w14:textId="17E735FA" w:rsidR="00F61FC0" w:rsidRDefault="00F61FC0" w:rsidP="0037662C">
      <w:pPr>
        <w:pStyle w:val="NormalWeb"/>
        <w:rPr>
          <w:rFonts w:ascii="Point Extra Light" w:hAnsi="Point Extra Light"/>
          <w:color w:val="1D2244"/>
        </w:rPr>
      </w:pPr>
    </w:p>
    <w:p w14:paraId="1C0E7125" w14:textId="71174A31" w:rsidR="00F61FC0" w:rsidRDefault="00F61FC0" w:rsidP="0037662C">
      <w:pPr>
        <w:pStyle w:val="NormalWeb"/>
        <w:rPr>
          <w:rFonts w:ascii="Point Extra Light" w:hAnsi="Point Extra Light"/>
          <w:color w:val="1D2244"/>
        </w:rPr>
      </w:pPr>
    </w:p>
    <w:p w14:paraId="25862B05" w14:textId="77777777" w:rsidR="00F61FC0" w:rsidRPr="0037662C" w:rsidRDefault="00F61FC0" w:rsidP="0037662C">
      <w:pPr>
        <w:pStyle w:val="NormalWeb"/>
        <w:rPr>
          <w:rFonts w:ascii="Point Extra Light" w:hAnsi="Point Extra Light"/>
          <w:color w:val="1D2244"/>
        </w:rPr>
      </w:pPr>
    </w:p>
    <w:p w14:paraId="6CAC6605" w14:textId="34BDBB1E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7.4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Perfil diagnóstico</w:t>
      </w:r>
    </w:p>
    <w:p w14:paraId="2CD2C88D" w14:textId="77777777" w:rsidR="0037662C" w:rsidRPr="0037662C" w:rsidRDefault="0037662C" w:rsidP="0037662C">
      <w:pPr>
        <w:pStyle w:val="NormalWeb"/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Datos esenciales a recabar para poder cotizar:</w:t>
      </w:r>
    </w:p>
    <w:p w14:paraId="2D649115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Edad y fecha de nacimiento</w:t>
      </w:r>
    </w:p>
    <w:p w14:paraId="061E8D87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Estado civil</w:t>
      </w:r>
    </w:p>
    <w:p w14:paraId="5D281EAD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Información familiar</w:t>
      </w:r>
    </w:p>
    <w:p w14:paraId="672DBA3F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Ocupación</w:t>
      </w:r>
    </w:p>
    <w:p w14:paraId="604EF633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Tiempo en el puesto</w:t>
      </w:r>
    </w:p>
    <w:p w14:paraId="5047F145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Estilo de vida (fumador, deporte, motocicleta, etc.)</w:t>
      </w:r>
    </w:p>
    <w:p w14:paraId="72FFCFBC" w14:textId="092710F8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7.5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Conceptos y productos</w:t>
      </w:r>
    </w:p>
    <w:p w14:paraId="5AD1602C" w14:textId="77777777" w:rsidR="0037662C" w:rsidRPr="0037662C" w:rsidRDefault="0037662C" w:rsidP="0037662C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37662C">
        <w:rPr>
          <w:rFonts w:ascii="Point Extra Light" w:hAnsi="Point Extra Light"/>
          <w:b w:val="0"/>
          <w:bCs w:val="0"/>
          <w:color w:val="1D2244"/>
          <w:sz w:val="24"/>
          <w:szCs w:val="24"/>
        </w:rPr>
        <w:t>Diferenciación entre conceptos y productos. Se enfatiza el valor del asesoramiento personalizado, no la venta masiva de productos genéricos.</w:t>
      </w:r>
    </w:p>
    <w:p w14:paraId="2D636202" w14:textId="7DE573C3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7.6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Teoría de la inversión</w:t>
      </w:r>
    </w:p>
    <w:p w14:paraId="58B3C163" w14:textId="77777777" w:rsidR="0037662C" w:rsidRPr="0037662C" w:rsidRDefault="0037662C" w:rsidP="0037662C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37662C">
        <w:rPr>
          <w:rFonts w:ascii="Point Extra Light" w:hAnsi="Point Extra Light"/>
          <w:b w:val="0"/>
          <w:bCs w:val="0"/>
          <w:color w:val="1D2244"/>
          <w:sz w:val="24"/>
          <w:szCs w:val="24"/>
        </w:rPr>
        <w:t>Explicación de las etapas de vida y cómo adaptar la propuesta según el momento del prospecto. Se entregan preguntas clave por etapa.</w:t>
      </w:r>
    </w:p>
    <w:p w14:paraId="030EEAEE" w14:textId="19A357DB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7.7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Estado de salud</w:t>
      </w:r>
    </w:p>
    <w:p w14:paraId="6E575884" w14:textId="77777777" w:rsidR="0037662C" w:rsidRPr="0037662C" w:rsidRDefault="0037662C" w:rsidP="0037662C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37662C">
        <w:rPr>
          <w:rFonts w:ascii="Point Extra Light" w:hAnsi="Point Extra Light"/>
          <w:b w:val="0"/>
          <w:bCs w:val="0"/>
          <w:color w:val="1D2244"/>
          <w:sz w:val="24"/>
          <w:szCs w:val="24"/>
        </w:rPr>
        <w:t>Se abordan las preguntas médicas necesarias para evaluar riesgos y condiciones que afecten la cotización.</w:t>
      </w:r>
    </w:p>
    <w:p w14:paraId="27EBB8AB" w14:textId="25F0C200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7.8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Cantidad mensual para la estrategia</w:t>
      </w:r>
    </w:p>
    <w:p w14:paraId="19183424" w14:textId="77777777" w:rsidR="0037662C" w:rsidRPr="0037662C" w:rsidRDefault="0037662C" w:rsidP="0037662C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37662C">
        <w:rPr>
          <w:rFonts w:ascii="Point Extra Light" w:hAnsi="Point Extra Light"/>
          <w:b w:val="0"/>
          <w:bCs w:val="0"/>
          <w:color w:val="1D2244"/>
          <w:sz w:val="24"/>
          <w:szCs w:val="24"/>
        </w:rPr>
        <w:t>Importancia de conocer el presupuesto del cliente desde el inicio para adaptar la propuesta a su realidad económica.</w:t>
      </w:r>
    </w:p>
    <w:p w14:paraId="0180E48B" w14:textId="51A2F603" w:rsidR="0037662C" w:rsidRPr="0037662C" w:rsidRDefault="00F61FC0" w:rsidP="00F61FC0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8. </w:t>
      </w:r>
      <w:r w:rsidR="0037662C" w:rsidRPr="0037662C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Día 4: Presentación de la Propuesta y Cierre</w:t>
      </w:r>
    </w:p>
    <w:p w14:paraId="48CC54B4" w14:textId="318348F5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8.1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Presentación comercial</w:t>
      </w:r>
    </w:p>
    <w:p w14:paraId="61DA5DAC" w14:textId="77777777" w:rsidR="0037662C" w:rsidRPr="0037662C" w:rsidRDefault="0037662C" w:rsidP="0037662C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37662C">
        <w:rPr>
          <w:rFonts w:ascii="Point Extra Light" w:hAnsi="Point Extra Light"/>
          <w:b w:val="0"/>
          <w:bCs w:val="0"/>
          <w:color w:val="1D2244"/>
          <w:sz w:val="24"/>
          <w:szCs w:val="24"/>
        </w:rPr>
        <w:t>Enfoque de la propuesta centrado en el concepto y no solo en el producto. Se enseña a presentar de forma consultiva.</w:t>
      </w:r>
    </w:p>
    <w:p w14:paraId="11488473" w14:textId="6824617E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8.2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Estructura de cita de cierre</w:t>
      </w:r>
    </w:p>
    <w:p w14:paraId="260DF803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Saludo</w:t>
      </w:r>
    </w:p>
    <w:p w14:paraId="00F04277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Romper el hielo</w:t>
      </w:r>
    </w:p>
    <w:p w14:paraId="1C328BA0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Motivo de la visita</w:t>
      </w:r>
    </w:p>
    <w:p w14:paraId="5A233C09" w14:textId="73C4A66E" w:rsid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Resumen de la primera entrevista</w:t>
      </w:r>
    </w:p>
    <w:p w14:paraId="5A31C5E4" w14:textId="4281A674" w:rsidR="00F61FC0" w:rsidRDefault="00F61FC0" w:rsidP="00F61FC0">
      <w:pPr>
        <w:pStyle w:val="NormalWeb"/>
        <w:rPr>
          <w:rFonts w:ascii="Point Extra Light" w:hAnsi="Point Extra Light"/>
          <w:color w:val="1D2244"/>
        </w:rPr>
      </w:pPr>
    </w:p>
    <w:p w14:paraId="02DB75D4" w14:textId="77777777" w:rsidR="00F61FC0" w:rsidRPr="0037662C" w:rsidRDefault="00F61FC0" w:rsidP="00F61FC0">
      <w:pPr>
        <w:pStyle w:val="NormalWeb"/>
        <w:rPr>
          <w:rFonts w:ascii="Point Extra Light" w:hAnsi="Point Extra Light"/>
          <w:color w:val="1D2244"/>
        </w:rPr>
      </w:pPr>
    </w:p>
    <w:p w14:paraId="14C3127B" w14:textId="6A7154A8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8.3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Objetivo de la cita y técnicas</w:t>
      </w:r>
    </w:p>
    <w:p w14:paraId="1AA8B561" w14:textId="77777777" w:rsidR="0037662C" w:rsidRPr="00C41D65" w:rsidRDefault="0037662C" w:rsidP="00C41D65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C41D65">
        <w:rPr>
          <w:rFonts w:ascii="Point Extra Light" w:hAnsi="Point Extra Light"/>
          <w:b w:val="0"/>
          <w:bCs w:val="0"/>
          <w:color w:val="1D2244"/>
          <w:sz w:val="24"/>
          <w:szCs w:val="24"/>
        </w:rPr>
        <w:t>Se plantean las preguntas clave para validar el interés del cliente y avanzar hacia el cierre.</w:t>
      </w:r>
    </w:p>
    <w:p w14:paraId="554302A9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¿Cumple con lo que platicamos?</w:t>
      </w:r>
    </w:p>
    <w:p w14:paraId="06C9DE9F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¿Se ajusta al presupuesto?</w:t>
      </w:r>
    </w:p>
    <w:p w14:paraId="096E2958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¿Qué te parece esta propuesta?</w:t>
      </w:r>
    </w:p>
    <w:p w14:paraId="6234D58E" w14:textId="3775C99B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8.4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Técnicas de cierre</w:t>
      </w:r>
    </w:p>
    <w:p w14:paraId="1FF19875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Consentimiento implícito</w:t>
      </w:r>
    </w:p>
    <w:p w14:paraId="12727B40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Preguntas de tanteo Se enseñan ejemplos para detectar señales de cierre y avanzar con seguridad.</w:t>
      </w:r>
    </w:p>
    <w:p w14:paraId="4CEF094F" w14:textId="22371FA1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8.5 </w:t>
      </w:r>
      <w:proofErr w:type="spellStart"/>
      <w:r w:rsidR="0037662C" w:rsidRPr="00F61FC0">
        <w:rPr>
          <w:rFonts w:ascii="Point Extra Light" w:hAnsi="Point Extra Light"/>
          <w:color w:val="1D2244"/>
          <w:sz w:val="24"/>
          <w:szCs w:val="24"/>
        </w:rPr>
        <w:t>Tips</w:t>
      </w:r>
      <w:proofErr w:type="spellEnd"/>
      <w:r w:rsidR="0037662C" w:rsidRPr="00F61FC0">
        <w:rPr>
          <w:rFonts w:ascii="Point Extra Light" w:hAnsi="Point Extra Light"/>
          <w:color w:val="1D2244"/>
          <w:sz w:val="24"/>
          <w:szCs w:val="24"/>
        </w:rPr>
        <w:t xml:space="preserve"> de cierre</w:t>
      </w:r>
    </w:p>
    <w:p w14:paraId="09450B59" w14:textId="77777777" w:rsidR="0037662C" w:rsidRPr="00C41D65" w:rsidRDefault="0037662C" w:rsidP="00C41D65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C41D65">
        <w:rPr>
          <w:rFonts w:ascii="Point Extra Light" w:hAnsi="Point Extra Light"/>
          <w:b w:val="0"/>
          <w:bCs w:val="0"/>
          <w:color w:val="1D2244"/>
          <w:sz w:val="24"/>
          <w:szCs w:val="24"/>
        </w:rPr>
        <w:t>Revisión de materiales necesarios:</w:t>
      </w:r>
    </w:p>
    <w:p w14:paraId="38D0FB2C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Identificación oficial</w:t>
      </w:r>
    </w:p>
    <w:p w14:paraId="44409669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Comprobante de domicilio</w:t>
      </w:r>
    </w:p>
    <w:p w14:paraId="7CD7024C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Constancia de situación fiscal</w:t>
      </w:r>
    </w:p>
    <w:p w14:paraId="5F801ABD" w14:textId="77777777" w:rsidR="0037662C" w:rsidRP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37662C">
        <w:rPr>
          <w:rFonts w:ascii="Point Extra Light" w:hAnsi="Point Extra Light"/>
          <w:color w:val="1D2244"/>
        </w:rPr>
        <w:t>Solicitudes de contratación (más de una por si se comete un error)</w:t>
      </w:r>
    </w:p>
    <w:p w14:paraId="508EABB0" w14:textId="19AEE824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8.6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Llenado de solicitud</w:t>
      </w:r>
    </w:p>
    <w:p w14:paraId="0C5D4F6A" w14:textId="77777777" w:rsidR="0037662C" w:rsidRPr="00C41D65" w:rsidRDefault="0037662C" w:rsidP="00C41D65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C41D65">
        <w:rPr>
          <w:rFonts w:ascii="Point Extra Light" w:hAnsi="Point Extra Light"/>
          <w:b w:val="0"/>
          <w:bCs w:val="0"/>
          <w:color w:val="1D2244"/>
          <w:sz w:val="24"/>
          <w:szCs w:val="24"/>
        </w:rPr>
        <w:t>Se enseña el correcto llenado de una solicitud de vida individual con enfoque práctico.</w:t>
      </w:r>
    </w:p>
    <w:p w14:paraId="72BC4C21" w14:textId="735E80AD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8.7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Solicitud de referidos</w:t>
      </w:r>
    </w:p>
    <w:p w14:paraId="3CC177CA" w14:textId="77777777" w:rsidR="0037662C" w:rsidRPr="00C41D65" w:rsidRDefault="0037662C" w:rsidP="00C41D65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C41D65">
        <w:rPr>
          <w:rFonts w:ascii="Point Extra Light" w:hAnsi="Point Extra Light"/>
          <w:b w:val="0"/>
          <w:bCs w:val="0"/>
          <w:color w:val="1D2244"/>
          <w:sz w:val="24"/>
          <w:szCs w:val="24"/>
        </w:rPr>
        <w:t>Ejercicio para obtener referidos tras la presentación:</w:t>
      </w:r>
    </w:p>
    <w:p w14:paraId="651D4624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Encuesta de satisfacción</w:t>
      </w:r>
    </w:p>
    <w:p w14:paraId="2F18B10A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Solicitud de perfiles similares</w:t>
      </w:r>
    </w:p>
    <w:p w14:paraId="614C9DEE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Recomendación de 10 mejores amigos</w:t>
      </w:r>
    </w:p>
    <w:p w14:paraId="47D66F58" w14:textId="1818C58D" w:rsidR="0037662C" w:rsidRPr="0037662C" w:rsidRDefault="00F61FC0" w:rsidP="0037662C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</w:pPr>
      <w:r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 xml:space="preserve">9. </w:t>
      </w:r>
      <w:r w:rsidR="0037662C" w:rsidRPr="0037662C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Día 5: Servicio Postventa</w:t>
      </w:r>
    </w:p>
    <w:p w14:paraId="087A4CDA" w14:textId="4D52A0B1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9.1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Importancia del servicio postventa</w:t>
      </w:r>
    </w:p>
    <w:p w14:paraId="56E2FE6B" w14:textId="77777777" w:rsidR="0037662C" w:rsidRPr="00C41D65" w:rsidRDefault="0037662C" w:rsidP="00C41D65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C41D65">
        <w:rPr>
          <w:rFonts w:ascii="Point Extra Light" w:hAnsi="Point Extra Light"/>
          <w:b w:val="0"/>
          <w:bCs w:val="0"/>
          <w:color w:val="1D2244"/>
          <w:sz w:val="24"/>
          <w:szCs w:val="24"/>
        </w:rPr>
        <w:t>Se refuerza la idea de que la venta no termina con la firma, sino con una postventa de calidad:</w:t>
      </w:r>
    </w:p>
    <w:p w14:paraId="5D4723B0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Refuerza la confianza</w:t>
      </w:r>
    </w:p>
    <w:p w14:paraId="0D310875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Asegura permanencia de la póliza</w:t>
      </w:r>
    </w:p>
    <w:p w14:paraId="2D1E2B19" w14:textId="095F7669" w:rsid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Abre la puerta a futuras contrataciones</w:t>
      </w:r>
    </w:p>
    <w:p w14:paraId="2E4E58DC" w14:textId="77777777" w:rsidR="00F61FC0" w:rsidRPr="00C41D65" w:rsidRDefault="00F61FC0" w:rsidP="00F61FC0">
      <w:pPr>
        <w:pStyle w:val="NormalWeb"/>
        <w:ind w:left="720"/>
        <w:rPr>
          <w:rFonts w:ascii="Point Extra Light" w:hAnsi="Point Extra Light"/>
          <w:color w:val="1D2244"/>
        </w:rPr>
      </w:pPr>
    </w:p>
    <w:p w14:paraId="79683991" w14:textId="305370CD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9.2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Propósitos de la entrega de la póliza</w:t>
      </w:r>
    </w:p>
    <w:p w14:paraId="2E756790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Revalidar la necesidad cubierta</w:t>
      </w:r>
    </w:p>
    <w:p w14:paraId="6912CAC3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Generar apertura para nuevos productos</w:t>
      </w:r>
    </w:p>
    <w:p w14:paraId="10F997AC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Reforzar prestigio del agente y promotoría</w:t>
      </w:r>
    </w:p>
    <w:p w14:paraId="523C6C7D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Generar nuevos contactos</w:t>
      </w:r>
    </w:p>
    <w:p w14:paraId="731ACA6E" w14:textId="42877F0D" w:rsidR="0037662C" w:rsidRPr="00F61FC0" w:rsidRDefault="00F61FC0" w:rsidP="00F61FC0">
      <w:pPr>
        <w:pStyle w:val="Ttulo3"/>
        <w:ind w:firstLine="708"/>
        <w:rPr>
          <w:rFonts w:ascii="Point Extra Light" w:hAnsi="Point Extra Light"/>
          <w:color w:val="1D2244"/>
          <w:sz w:val="24"/>
          <w:szCs w:val="24"/>
        </w:rPr>
      </w:pPr>
      <w:r>
        <w:rPr>
          <w:rFonts w:ascii="Point Extra Light" w:hAnsi="Point Extra Light"/>
          <w:color w:val="1D2244"/>
          <w:sz w:val="24"/>
          <w:szCs w:val="24"/>
        </w:rPr>
        <w:t xml:space="preserve">9.3 </w:t>
      </w:r>
      <w:r w:rsidR="0037662C" w:rsidRPr="00F61FC0">
        <w:rPr>
          <w:rFonts w:ascii="Point Extra Light" w:hAnsi="Point Extra Light"/>
          <w:color w:val="1D2244"/>
          <w:sz w:val="24"/>
          <w:szCs w:val="24"/>
        </w:rPr>
        <w:t>Productos VIDA</w:t>
      </w:r>
    </w:p>
    <w:p w14:paraId="65D4C1B0" w14:textId="77777777" w:rsidR="0037662C" w:rsidRPr="00C41D65" w:rsidRDefault="0037662C" w:rsidP="00C41D65">
      <w:pPr>
        <w:pStyle w:val="Ttulo3"/>
        <w:rPr>
          <w:rFonts w:ascii="Point Extra Light" w:hAnsi="Point Extra Light"/>
          <w:b w:val="0"/>
          <w:bCs w:val="0"/>
          <w:color w:val="1D2244"/>
          <w:sz w:val="24"/>
          <w:szCs w:val="24"/>
        </w:rPr>
      </w:pPr>
      <w:r w:rsidRPr="00C41D65">
        <w:rPr>
          <w:rFonts w:ascii="Point Extra Light" w:hAnsi="Point Extra Light"/>
          <w:b w:val="0"/>
          <w:bCs w:val="0"/>
          <w:color w:val="1D2244"/>
          <w:sz w:val="24"/>
          <w:szCs w:val="24"/>
        </w:rPr>
        <w:t>Revisión de los principales productos:</w:t>
      </w:r>
    </w:p>
    <w:p w14:paraId="2E177426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Temporal</w:t>
      </w:r>
    </w:p>
    <w:p w14:paraId="54CFAF45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VPL (Vida Plazo Largo)</w:t>
      </w:r>
    </w:p>
    <w:p w14:paraId="3E83BF43" w14:textId="77777777" w:rsidR="0037662C" w:rsidRPr="00C41D65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Aliados + Ahorro</w:t>
      </w:r>
    </w:p>
    <w:p w14:paraId="5F4D34F8" w14:textId="3D5BBA60" w:rsidR="0037662C" w:rsidRDefault="0037662C" w:rsidP="006D1A6A">
      <w:pPr>
        <w:pStyle w:val="NormalWeb"/>
        <w:numPr>
          <w:ilvl w:val="0"/>
          <w:numId w:val="2"/>
        </w:numPr>
        <w:rPr>
          <w:rFonts w:ascii="Point Extra Light" w:hAnsi="Point Extra Light"/>
          <w:color w:val="1D2244"/>
        </w:rPr>
      </w:pPr>
      <w:r w:rsidRPr="00C41D65">
        <w:rPr>
          <w:rFonts w:ascii="Point Extra Light" w:hAnsi="Point Extra Light"/>
          <w:color w:val="1D2244"/>
        </w:rPr>
        <w:t>Aliados + PPR (Plan Personal de Retiro)</w:t>
      </w:r>
    </w:p>
    <w:p w14:paraId="0309D83C" w14:textId="268E1DEE" w:rsidR="00860ECE" w:rsidRPr="00C41D65" w:rsidRDefault="00860ECE" w:rsidP="00860ECE">
      <w:pPr>
        <w:pStyle w:val="NormalWeb"/>
        <w:rPr>
          <w:rFonts w:ascii="Point Extra Light" w:hAnsi="Point Extra Light"/>
          <w:color w:val="1D2244"/>
        </w:rPr>
      </w:pPr>
      <w:r>
        <w:rPr>
          <w:rFonts w:ascii="Point Extra Light" w:hAnsi="Point Extra Light"/>
          <w:color w:val="1D2244"/>
        </w:rPr>
        <w:t>GMM</w:t>
      </w:r>
    </w:p>
    <w:p w14:paraId="2FF600CF" w14:textId="77777777" w:rsidR="0037662C" w:rsidRDefault="0037662C" w:rsidP="006D1A6A">
      <w:pPr>
        <w:pStyle w:val="NormalWeb"/>
        <w:numPr>
          <w:ilvl w:val="0"/>
          <w:numId w:val="2"/>
        </w:numPr>
      </w:pPr>
      <w:r w:rsidRPr="00C41D65">
        <w:rPr>
          <w:rFonts w:ascii="Point Extra Light" w:hAnsi="Point Extra Light"/>
          <w:color w:val="1D2244"/>
        </w:rPr>
        <w:t>Flex Plus</w:t>
      </w:r>
    </w:p>
    <w:p w14:paraId="3E355C5A" w14:textId="77777777" w:rsidR="002074B3" w:rsidRPr="008955CF" w:rsidRDefault="002074B3" w:rsidP="002074B3">
      <w:pPr>
        <w:pStyle w:val="NormalWeb"/>
        <w:rPr>
          <w:rFonts w:ascii="Point Extra Light" w:hAnsi="Point Extra Light"/>
          <w:color w:val="1D2244"/>
        </w:rPr>
      </w:pPr>
    </w:p>
    <w:p w14:paraId="586CB0A0" w14:textId="471CF61F" w:rsidR="002074B3" w:rsidRPr="00A02AF4" w:rsidRDefault="00F61FC0" w:rsidP="002074B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10</w:t>
      </w:r>
      <w:r w:rsidR="002074B3" w:rsidRPr="00A02AF4">
        <w:rPr>
          <w:rFonts w:ascii="Point Extra Light" w:eastAsia="Times New Roman" w:hAnsi="Point Extra Light" w:cs="Times New Roman"/>
          <w:b/>
          <w:bCs/>
          <w:color w:val="1D2244"/>
          <w:sz w:val="24"/>
          <w:szCs w:val="24"/>
          <w:lang w:eastAsia="es-ES"/>
        </w:rPr>
        <w:t>. Observaciones Finales</w:t>
      </w:r>
    </w:p>
    <w:p w14:paraId="5CC0BF3E" w14:textId="77777777" w:rsidR="002074B3" w:rsidRPr="00A02AF4" w:rsidRDefault="002074B3" w:rsidP="002074B3">
      <w:pPr>
        <w:spacing w:before="100" w:beforeAutospacing="1" w:after="100" w:afterAutospacing="1" w:line="240" w:lineRule="auto"/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</w:pPr>
      <w:r w:rsidRPr="00A02AF4">
        <w:rPr>
          <w:rFonts w:ascii="Point Extra Light" w:eastAsia="Times New Roman" w:hAnsi="Point Extra Light" w:cs="Times New Roman"/>
          <w:color w:val="1D2244"/>
          <w:sz w:val="24"/>
          <w:szCs w:val="24"/>
          <w:lang w:eastAsia="es-ES"/>
        </w:rPr>
        <w:t>Este manual es un documento vivo y puede ajustarse conforme se identifiquen oportunidades de mejora. La disciplina en su aplicación contribuirá significativamente a los resultados operativos y comerciales de la empresa.</w:t>
      </w:r>
    </w:p>
    <w:p w14:paraId="3C565E4E" w14:textId="77777777" w:rsidR="002074B3" w:rsidRPr="008955CF" w:rsidRDefault="002074B3" w:rsidP="002074B3">
      <w:pPr>
        <w:pStyle w:val="NormalWeb"/>
        <w:rPr>
          <w:rFonts w:ascii="Point Extra Light" w:hAnsi="Point Extra Light"/>
          <w:color w:val="1D2244"/>
        </w:rPr>
      </w:pPr>
    </w:p>
    <w:sectPr w:rsidR="002074B3" w:rsidRPr="008955CF" w:rsidSect="00B9155A">
      <w:headerReference w:type="default" r:id="rId8"/>
      <w:footerReference w:type="default" r:id="rId9"/>
      <w:headerReference w:type="first" r:id="rId10"/>
      <w:pgSz w:w="11906" w:h="16838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87BD2E" w14:textId="77777777" w:rsidR="00381EED" w:rsidRDefault="00381EED" w:rsidP="00B9155A">
      <w:pPr>
        <w:spacing w:after="0" w:line="240" w:lineRule="auto"/>
      </w:pPr>
      <w:r>
        <w:separator/>
      </w:r>
    </w:p>
  </w:endnote>
  <w:endnote w:type="continuationSeparator" w:id="0">
    <w:p w14:paraId="7A09BE2B" w14:textId="77777777" w:rsidR="00381EED" w:rsidRDefault="00381EED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Semi Bold Italic">
    <w:panose1 w:val="000007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Thin">
    <w:panose1 w:val="000003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Light">
    <w:panose1 w:val="000004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A00B12" w14:textId="77777777" w:rsidR="00381EED" w:rsidRDefault="00381EED" w:rsidP="00B9155A">
      <w:pPr>
        <w:spacing w:after="0" w:line="240" w:lineRule="auto"/>
      </w:pPr>
      <w:r>
        <w:separator/>
      </w:r>
    </w:p>
  </w:footnote>
  <w:footnote w:type="continuationSeparator" w:id="0">
    <w:p w14:paraId="1026C0EA" w14:textId="77777777" w:rsidR="00381EED" w:rsidRDefault="00381EED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87786186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633938"/>
    <w:multiLevelType w:val="multilevel"/>
    <w:tmpl w:val="DCA2DA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4"/>
      <w:numFmt w:val="decimal"/>
      <w:lvlText w:val="%2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3611FF6"/>
    <w:multiLevelType w:val="multilevel"/>
    <w:tmpl w:val="C8448C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705F"/>
    <w:rsid w:val="00026685"/>
    <w:rsid w:val="000A05EF"/>
    <w:rsid w:val="000F5502"/>
    <w:rsid w:val="00176F9B"/>
    <w:rsid w:val="002074B3"/>
    <w:rsid w:val="002A7A01"/>
    <w:rsid w:val="002B41A3"/>
    <w:rsid w:val="002D26AC"/>
    <w:rsid w:val="002F6CD1"/>
    <w:rsid w:val="00324E00"/>
    <w:rsid w:val="00372759"/>
    <w:rsid w:val="0037662C"/>
    <w:rsid w:val="00380197"/>
    <w:rsid w:val="00381EED"/>
    <w:rsid w:val="003B75FA"/>
    <w:rsid w:val="00416FCB"/>
    <w:rsid w:val="004E5D97"/>
    <w:rsid w:val="005D07B7"/>
    <w:rsid w:val="00696E42"/>
    <w:rsid w:val="006B1A9A"/>
    <w:rsid w:val="006B71FD"/>
    <w:rsid w:val="006D1A6A"/>
    <w:rsid w:val="00786A30"/>
    <w:rsid w:val="007D1BC1"/>
    <w:rsid w:val="00860ECE"/>
    <w:rsid w:val="008955CF"/>
    <w:rsid w:val="008F03A2"/>
    <w:rsid w:val="00A84575"/>
    <w:rsid w:val="00AA3A6B"/>
    <w:rsid w:val="00AB571B"/>
    <w:rsid w:val="00AE75BD"/>
    <w:rsid w:val="00B17650"/>
    <w:rsid w:val="00B9155A"/>
    <w:rsid w:val="00B97478"/>
    <w:rsid w:val="00BC1793"/>
    <w:rsid w:val="00BE3237"/>
    <w:rsid w:val="00C41D65"/>
    <w:rsid w:val="00D41870"/>
    <w:rsid w:val="00DB00DF"/>
    <w:rsid w:val="00E06BAB"/>
    <w:rsid w:val="00EA2B3E"/>
    <w:rsid w:val="00EA6B30"/>
    <w:rsid w:val="00ED65D9"/>
    <w:rsid w:val="00F072C7"/>
    <w:rsid w:val="00F61FC0"/>
    <w:rsid w:val="00F70D99"/>
    <w:rsid w:val="00F81C10"/>
    <w:rsid w:val="00F82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2F6CD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37662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1Car">
    <w:name w:val="Título 1 Car"/>
    <w:basedOn w:val="Fuentedeprrafopredeter"/>
    <w:link w:val="Ttulo1"/>
    <w:uiPriority w:val="9"/>
    <w:rsid w:val="002F6CD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37662C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5140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8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2974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9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110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3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31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43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45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24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59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93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10</Pages>
  <Words>1548</Words>
  <Characters>8780</Characters>
  <Application>Microsoft Office Word</Application>
  <DocSecurity>0</DocSecurity>
  <Lines>487</Lines>
  <Paragraphs>295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RINOMANUAL</vt:lpstr>
    </vt:vector>
  </TitlesOfParts>
  <Company>COORDINACION OPERATIVA Y COMERCIAL</Company>
  <LinksUpToDate>false</LinksUpToDate>
  <CharactersWithSpaces>10033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RINOMANUAL</dc:title>
  <dc:subject/>
  <dc:creator>ivan hernandez</dc:creator>
  <cp:keywords/>
  <dc:description/>
  <cp:lastModifiedBy>ivan hernandez</cp:lastModifiedBy>
  <cp:revision>5</cp:revision>
  <dcterms:created xsi:type="dcterms:W3CDTF">2025-07-24T16:45:00Z</dcterms:created>
  <dcterms:modified xsi:type="dcterms:W3CDTF">2025-07-24T19:44:00Z</dcterms:modified>
</cp:coreProperties>
</file>